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5DC7F" w14:textId="569F23CF" w:rsidR="003D0F62" w:rsidRPr="00714B8D" w:rsidRDefault="00DF6092" w:rsidP="00B269D6">
      <w:pPr>
        <w:spacing w:after="0" w:line="240" w:lineRule="auto"/>
        <w:jc w:val="center"/>
        <w:rPr>
          <w:rFonts w:cs="Arial"/>
          <w:b/>
          <w:bCs/>
          <w:u w:val="single"/>
        </w:rPr>
      </w:pPr>
      <w:r w:rsidRPr="00714B8D">
        <w:rPr>
          <w:rFonts w:cs="Arial"/>
          <w:b/>
          <w:bCs/>
          <w:u w:val="single"/>
        </w:rPr>
        <w:t xml:space="preserve">OEM Committee </w:t>
      </w:r>
      <w:r w:rsidR="003D0F62" w:rsidRPr="00714B8D">
        <w:rPr>
          <w:rFonts w:cs="Arial"/>
          <w:b/>
          <w:bCs/>
          <w:u w:val="single"/>
        </w:rPr>
        <w:t xml:space="preserve">response to the </w:t>
      </w:r>
      <w:r w:rsidR="009E3DFD">
        <w:rPr>
          <w:rFonts w:cs="Arial"/>
          <w:b/>
          <w:bCs/>
          <w:u w:val="single"/>
        </w:rPr>
        <w:t xml:space="preserve">Simplified Security </w:t>
      </w:r>
      <w:r w:rsidR="003D0F62" w:rsidRPr="00714B8D">
        <w:rPr>
          <w:rFonts w:cs="Arial"/>
          <w:b/>
          <w:bCs/>
          <w:u w:val="single"/>
        </w:rPr>
        <w:t>Certification Scheme</w:t>
      </w:r>
    </w:p>
    <w:p w14:paraId="3A0B9899" w14:textId="77777777" w:rsidR="003D0F62" w:rsidRDefault="003D0F62" w:rsidP="00B269D6">
      <w:pPr>
        <w:spacing w:after="0" w:line="240" w:lineRule="auto"/>
        <w:jc w:val="both"/>
        <w:rPr>
          <w:rFonts w:cs="Arial"/>
        </w:rPr>
      </w:pPr>
    </w:p>
    <w:p w14:paraId="2C8FFE3D" w14:textId="0DF80CD0" w:rsidR="009F05F3" w:rsidRDefault="009F05F3" w:rsidP="00B269D6">
      <w:pPr>
        <w:spacing w:after="0" w:line="240" w:lineRule="auto"/>
        <w:jc w:val="both"/>
        <w:rPr>
          <w:rFonts w:ascii="Aptos" w:hAnsi="Aptos"/>
          <w:color w:val="000000"/>
        </w:rPr>
      </w:pPr>
      <w:r w:rsidRPr="009F05F3">
        <w:rPr>
          <w:rFonts w:ascii="Aptos" w:hAnsi="Aptos"/>
          <w:color w:val="000000"/>
        </w:rPr>
        <w:t xml:space="preserve">The OEM Committee, along with the entire Telecom industry, sincerely acknowledges and values the initiatives undertaken by NCCS and DoT to streamline and simplify the COMSEC certification process, thereby facilitating more accessible certification. We also extend our gratitude to NCCS for dedicating their time over the weekend to convene a meeting with the committee on </w:t>
      </w:r>
      <w:r w:rsidRPr="009F05F3">
        <w:rPr>
          <w:rFonts w:ascii="Aptos" w:hAnsi="Aptos"/>
          <w:b/>
          <w:bCs/>
          <w:color w:val="000000"/>
        </w:rPr>
        <w:t>March 8, 2026</w:t>
      </w:r>
      <w:r w:rsidRPr="009F05F3">
        <w:rPr>
          <w:rFonts w:ascii="Aptos" w:hAnsi="Aptos"/>
          <w:color w:val="000000"/>
        </w:rPr>
        <w:t>.</w:t>
      </w:r>
    </w:p>
    <w:p w14:paraId="0BB2A06C" w14:textId="77777777" w:rsidR="009F05F3" w:rsidRDefault="009F05F3" w:rsidP="00B269D6">
      <w:pPr>
        <w:spacing w:after="0" w:line="240" w:lineRule="auto"/>
        <w:jc w:val="both"/>
        <w:rPr>
          <w:rFonts w:cs="Arial"/>
        </w:rPr>
      </w:pPr>
    </w:p>
    <w:p w14:paraId="093608B7" w14:textId="77777777" w:rsidR="009F05F3" w:rsidRPr="009F05F3" w:rsidRDefault="009F05F3" w:rsidP="00B269D6">
      <w:pPr>
        <w:spacing w:after="0" w:line="240" w:lineRule="auto"/>
        <w:jc w:val="both"/>
        <w:rPr>
          <w:rFonts w:ascii="Aptos" w:hAnsi="Aptos"/>
          <w:color w:val="000000"/>
        </w:rPr>
      </w:pPr>
      <w:r w:rsidRPr="009F05F3">
        <w:rPr>
          <w:rFonts w:ascii="Aptos" w:hAnsi="Aptos"/>
          <w:color w:val="000000"/>
        </w:rPr>
        <w:t>Having reviewed the revised Simplified Certification Scheme circulated by NCCS on March 3, 2026, the OEM Committee expresses its appreciation to both NCCS and DoT for incorporating many of our recommendations and for enhancing the clarity and efficiency of the security certification scheme. We particularly thank NCCS for:</w:t>
      </w:r>
    </w:p>
    <w:p w14:paraId="78F907A7" w14:textId="041511E6" w:rsidR="009F05F3" w:rsidRDefault="005B3382" w:rsidP="00B269D6">
      <w:pPr>
        <w:pStyle w:val="ListParagraph"/>
        <w:numPr>
          <w:ilvl w:val="0"/>
          <w:numId w:val="19"/>
        </w:numPr>
        <w:jc w:val="both"/>
        <w:rPr>
          <w:rFonts w:ascii="Aptos" w:hAnsi="Aptos"/>
          <w:color w:val="000000"/>
        </w:rPr>
      </w:pPr>
      <w:r>
        <w:rPr>
          <w:rFonts w:ascii="Aptos" w:hAnsi="Aptos"/>
          <w:color w:val="000000"/>
        </w:rPr>
        <w:t xml:space="preserve">Making </w:t>
      </w:r>
      <w:r w:rsidR="009F05F3" w:rsidRPr="009F05F3">
        <w:rPr>
          <w:rFonts w:ascii="Aptos" w:hAnsi="Aptos"/>
          <w:color w:val="000000"/>
        </w:rPr>
        <w:t xml:space="preserve">only the </w:t>
      </w:r>
      <w:r w:rsidR="009F05F3" w:rsidRPr="005B3382">
        <w:rPr>
          <w:rFonts w:ascii="Aptos" w:hAnsi="Aptos"/>
          <w:b/>
          <w:bCs/>
          <w:color w:val="000000"/>
        </w:rPr>
        <w:t>SAL1 certificate as mandatory</w:t>
      </w:r>
      <w:r w:rsidR="009F05F3" w:rsidRPr="009F05F3">
        <w:rPr>
          <w:rFonts w:ascii="Aptos" w:hAnsi="Aptos"/>
          <w:color w:val="000000"/>
        </w:rPr>
        <w:t>, while designating SAL2 and SAL3 as optional;</w:t>
      </w:r>
    </w:p>
    <w:p w14:paraId="04A79432" w14:textId="77777777" w:rsidR="009F05F3" w:rsidRDefault="009F05F3" w:rsidP="00B269D6">
      <w:pPr>
        <w:pStyle w:val="ListParagraph"/>
        <w:numPr>
          <w:ilvl w:val="0"/>
          <w:numId w:val="19"/>
        </w:numPr>
        <w:jc w:val="both"/>
        <w:rPr>
          <w:rFonts w:ascii="Aptos" w:hAnsi="Aptos"/>
          <w:color w:val="000000"/>
        </w:rPr>
      </w:pPr>
      <w:r w:rsidRPr="009F05F3">
        <w:rPr>
          <w:rFonts w:ascii="Aptos" w:hAnsi="Aptos"/>
          <w:color w:val="000000"/>
        </w:rPr>
        <w:t xml:space="preserve">Extending the validity period of the </w:t>
      </w:r>
      <w:r w:rsidRPr="005B3382">
        <w:rPr>
          <w:rFonts w:ascii="Aptos" w:hAnsi="Aptos"/>
          <w:b/>
          <w:bCs/>
          <w:color w:val="000000"/>
        </w:rPr>
        <w:t>SAL1 certificate to</w:t>
      </w:r>
      <w:r w:rsidRPr="009F05F3">
        <w:rPr>
          <w:rFonts w:ascii="Aptos" w:hAnsi="Aptos"/>
          <w:color w:val="000000"/>
        </w:rPr>
        <w:t xml:space="preserve"> </w:t>
      </w:r>
      <w:r w:rsidRPr="009F05F3">
        <w:rPr>
          <w:rFonts w:ascii="Aptos" w:hAnsi="Aptos"/>
          <w:b/>
          <w:color w:val="000000"/>
        </w:rPr>
        <w:t>5 years</w:t>
      </w:r>
      <w:r w:rsidRPr="009F05F3">
        <w:rPr>
          <w:rFonts w:ascii="Aptos" w:hAnsi="Aptos"/>
          <w:color w:val="000000"/>
        </w:rPr>
        <w:t>, with the provision for renewal upon expiry;</w:t>
      </w:r>
    </w:p>
    <w:p w14:paraId="2BED05D3" w14:textId="76836824" w:rsidR="009F05F3" w:rsidRDefault="009F05F3" w:rsidP="00B269D6">
      <w:pPr>
        <w:pStyle w:val="ListParagraph"/>
        <w:numPr>
          <w:ilvl w:val="0"/>
          <w:numId w:val="19"/>
        </w:numPr>
        <w:jc w:val="both"/>
        <w:rPr>
          <w:rFonts w:ascii="Aptos" w:hAnsi="Aptos"/>
          <w:color w:val="000000"/>
        </w:rPr>
      </w:pPr>
      <w:r w:rsidRPr="009F05F3">
        <w:rPr>
          <w:rFonts w:ascii="Aptos" w:hAnsi="Aptos"/>
          <w:color w:val="000000"/>
        </w:rPr>
        <w:t xml:space="preserve">Simplifying security test requirements and </w:t>
      </w:r>
      <w:r w:rsidRPr="005B3382">
        <w:rPr>
          <w:rFonts w:ascii="Aptos" w:hAnsi="Aptos"/>
          <w:b/>
          <w:bCs/>
          <w:color w:val="000000"/>
        </w:rPr>
        <w:t>permitting the hardening or configuration</w:t>
      </w:r>
      <w:r w:rsidRPr="009F05F3">
        <w:rPr>
          <w:rFonts w:ascii="Aptos" w:hAnsi="Aptos"/>
          <w:color w:val="000000"/>
        </w:rPr>
        <w:t xml:space="preserve"> of the </w:t>
      </w:r>
      <w:proofErr w:type="spellStart"/>
      <w:r w:rsidRPr="009F05F3">
        <w:rPr>
          <w:rFonts w:ascii="Aptos" w:hAnsi="Aptos"/>
          <w:color w:val="000000"/>
        </w:rPr>
        <w:t>DuT</w:t>
      </w:r>
      <w:proofErr w:type="spellEnd"/>
      <w:r w:rsidRPr="009F05F3">
        <w:rPr>
          <w:rFonts w:ascii="Aptos" w:hAnsi="Aptos"/>
          <w:color w:val="000000"/>
        </w:rPr>
        <w:t xml:space="preserve"> to satisfy compliance criteria;</w:t>
      </w:r>
    </w:p>
    <w:p w14:paraId="3F054A51" w14:textId="77777777" w:rsidR="009F05F3" w:rsidRDefault="009F05F3" w:rsidP="00B269D6">
      <w:pPr>
        <w:pStyle w:val="ListParagraph"/>
        <w:numPr>
          <w:ilvl w:val="0"/>
          <w:numId w:val="19"/>
        </w:numPr>
        <w:jc w:val="both"/>
        <w:rPr>
          <w:rFonts w:ascii="Aptos" w:hAnsi="Aptos"/>
          <w:color w:val="000000"/>
        </w:rPr>
      </w:pPr>
      <w:r w:rsidRPr="009F05F3">
        <w:rPr>
          <w:rFonts w:ascii="Aptos" w:hAnsi="Aptos"/>
          <w:color w:val="000000"/>
        </w:rPr>
        <w:t xml:space="preserve">Agreeing to </w:t>
      </w:r>
      <w:r w:rsidRPr="005B3382">
        <w:rPr>
          <w:rFonts w:ascii="Aptos" w:hAnsi="Aptos"/>
          <w:b/>
          <w:bCs/>
          <w:color w:val="000000"/>
        </w:rPr>
        <w:t xml:space="preserve">redraft the </w:t>
      </w:r>
      <w:proofErr w:type="spellStart"/>
      <w:r w:rsidRPr="005B3382">
        <w:rPr>
          <w:rFonts w:ascii="Aptos" w:hAnsi="Aptos"/>
          <w:b/>
          <w:bCs/>
          <w:color w:val="000000"/>
        </w:rPr>
        <w:t>SDoC</w:t>
      </w:r>
      <w:proofErr w:type="spellEnd"/>
      <w:r w:rsidRPr="009F05F3">
        <w:rPr>
          <w:rFonts w:ascii="Aptos" w:hAnsi="Aptos"/>
          <w:color w:val="000000"/>
        </w:rPr>
        <w:t xml:space="preserve"> and keep it in abeyance until industry consultation is complete, i.e., for a six-month period from the effective date of the simplified certification scheme;</w:t>
      </w:r>
    </w:p>
    <w:p w14:paraId="4900D706" w14:textId="6C5A1A25" w:rsidR="009F05F3" w:rsidRDefault="009F05F3" w:rsidP="00B269D6">
      <w:pPr>
        <w:pStyle w:val="ListParagraph"/>
        <w:numPr>
          <w:ilvl w:val="0"/>
          <w:numId w:val="19"/>
        </w:numPr>
        <w:jc w:val="both"/>
        <w:rPr>
          <w:rFonts w:ascii="Aptos" w:hAnsi="Aptos"/>
          <w:color w:val="000000"/>
        </w:rPr>
      </w:pPr>
      <w:r w:rsidRPr="009F05F3">
        <w:rPr>
          <w:rFonts w:ascii="Aptos" w:hAnsi="Aptos"/>
          <w:color w:val="000000"/>
        </w:rPr>
        <w:t xml:space="preserve">Allowing </w:t>
      </w:r>
      <w:r w:rsidRPr="005B3382">
        <w:rPr>
          <w:rFonts w:ascii="Aptos" w:hAnsi="Aptos"/>
          <w:b/>
          <w:bCs/>
          <w:color w:val="000000"/>
        </w:rPr>
        <w:t>partial compliance</w:t>
      </w:r>
      <w:r w:rsidRPr="009F05F3">
        <w:rPr>
          <w:rFonts w:ascii="Aptos" w:hAnsi="Aptos"/>
          <w:color w:val="000000"/>
        </w:rPr>
        <w:t xml:space="preserve"> for specific test clauses within SAL2 and SAL3 certifications</w:t>
      </w:r>
      <w:r w:rsidR="005B3382">
        <w:rPr>
          <w:rFonts w:ascii="Aptos" w:hAnsi="Aptos"/>
          <w:color w:val="000000"/>
        </w:rPr>
        <w:t xml:space="preserve"> by </w:t>
      </w:r>
      <w:r w:rsidRPr="009F05F3">
        <w:rPr>
          <w:rFonts w:ascii="Aptos" w:hAnsi="Aptos"/>
          <w:color w:val="000000"/>
        </w:rPr>
        <w:t>introducing a scoring system as follows:</w:t>
      </w:r>
    </w:p>
    <w:p w14:paraId="4045D39A" w14:textId="77777777" w:rsidR="009F05F3" w:rsidRDefault="009F05F3" w:rsidP="00B269D6">
      <w:pPr>
        <w:pStyle w:val="ListParagraph"/>
        <w:numPr>
          <w:ilvl w:val="1"/>
          <w:numId w:val="19"/>
        </w:numPr>
        <w:ind w:left="851" w:hanging="425"/>
        <w:jc w:val="both"/>
        <w:rPr>
          <w:rFonts w:ascii="Aptos" w:hAnsi="Aptos"/>
          <w:color w:val="000000"/>
        </w:rPr>
      </w:pPr>
      <w:r w:rsidRPr="009F05F3">
        <w:rPr>
          <w:rFonts w:ascii="Aptos" w:hAnsi="Aptos"/>
          <w:color w:val="000000"/>
        </w:rPr>
        <w:t>For SAL2: minimum compliance of ≥ 60–80% of test clauses,</w:t>
      </w:r>
    </w:p>
    <w:p w14:paraId="51D38D4A" w14:textId="77777777" w:rsidR="009F05F3" w:rsidRDefault="009F05F3" w:rsidP="00B269D6">
      <w:pPr>
        <w:pStyle w:val="ListParagraph"/>
        <w:numPr>
          <w:ilvl w:val="1"/>
          <w:numId w:val="19"/>
        </w:numPr>
        <w:ind w:left="851" w:hanging="425"/>
        <w:jc w:val="both"/>
        <w:rPr>
          <w:rFonts w:ascii="Aptos" w:hAnsi="Aptos"/>
          <w:color w:val="000000"/>
        </w:rPr>
      </w:pPr>
      <w:r w:rsidRPr="009F05F3">
        <w:rPr>
          <w:rFonts w:ascii="Aptos" w:hAnsi="Aptos"/>
          <w:color w:val="000000"/>
        </w:rPr>
        <w:t>For SAL3: minimum compliance of ≥ 81–100% of test clauses.</w:t>
      </w:r>
    </w:p>
    <w:p w14:paraId="04E7CD21" w14:textId="77777777" w:rsidR="005B3382" w:rsidRPr="005B3382" w:rsidRDefault="005B3382" w:rsidP="00B269D6">
      <w:pPr>
        <w:spacing w:after="0" w:line="240" w:lineRule="auto"/>
        <w:jc w:val="both"/>
        <w:rPr>
          <w:rFonts w:ascii="Aptos" w:hAnsi="Aptos"/>
          <w:color w:val="000000"/>
        </w:rPr>
      </w:pPr>
      <w:r w:rsidRPr="005B3382">
        <w:rPr>
          <w:rFonts w:ascii="Aptos" w:hAnsi="Aptos"/>
          <w:color w:val="000000"/>
        </w:rPr>
        <w:t>While the OEM Committee and the broader Telecom industry highly appreciate these relaxations, we respectfully submit the following additional proposals to NCCS for consideration. These recommendations are intended to support the successful and timely implementation of the security certification scheme:</w:t>
      </w:r>
    </w:p>
    <w:p w14:paraId="1E122554" w14:textId="77777777" w:rsidR="005B3382" w:rsidRPr="005B3382" w:rsidRDefault="005B3382" w:rsidP="00B269D6">
      <w:pPr>
        <w:spacing w:after="0" w:line="240" w:lineRule="auto"/>
        <w:jc w:val="both"/>
        <w:rPr>
          <w:rFonts w:cs="Arial"/>
        </w:rPr>
      </w:pPr>
    </w:p>
    <w:p w14:paraId="6B0CF873" w14:textId="77777777" w:rsidR="005B3382" w:rsidRDefault="005B3382" w:rsidP="00B269D6">
      <w:pPr>
        <w:pStyle w:val="ListParagraph"/>
        <w:numPr>
          <w:ilvl w:val="0"/>
          <w:numId w:val="23"/>
        </w:numPr>
        <w:jc w:val="both"/>
        <w:rPr>
          <w:rFonts w:ascii="Aptos" w:hAnsi="Aptos"/>
          <w:b/>
          <w:color w:val="000000"/>
        </w:rPr>
      </w:pPr>
      <w:r w:rsidRPr="009F05F3">
        <w:rPr>
          <w:rFonts w:ascii="Aptos" w:hAnsi="Aptos"/>
          <w:b/>
          <w:color w:val="000000"/>
        </w:rPr>
        <w:t>Adoption of a Scoring System for SAL1 Certifications Consistent with SAL2 &amp; SAL3:</w:t>
      </w:r>
    </w:p>
    <w:p w14:paraId="603EC16B" w14:textId="6C4D4669" w:rsidR="005B3382" w:rsidRDefault="005B3382" w:rsidP="00B269D6">
      <w:pPr>
        <w:pStyle w:val="ListParagraph"/>
        <w:numPr>
          <w:ilvl w:val="1"/>
          <w:numId w:val="19"/>
        </w:numPr>
        <w:ind w:left="851" w:hanging="425"/>
        <w:jc w:val="both"/>
        <w:rPr>
          <w:rFonts w:ascii="Aptos" w:hAnsi="Aptos"/>
          <w:color w:val="000000"/>
        </w:rPr>
      </w:pPr>
      <w:r w:rsidRPr="009F05F3">
        <w:rPr>
          <w:rFonts w:ascii="Aptos" w:hAnsi="Aptos"/>
          <w:color w:val="000000"/>
        </w:rPr>
        <w:t xml:space="preserve">Achieving 100% compliance across all test scenarios and clauses at the current stage of ecosystem maturity remains challenging. To prevent outright rejection due to unmet security requirements or differences in the interpretation of test parameters among test labs, OEMs, NCCS validators, and evaluators, we strongly </w:t>
      </w:r>
      <w:r w:rsidRPr="005B3382">
        <w:rPr>
          <w:rFonts w:ascii="Aptos" w:hAnsi="Aptos"/>
          <w:b/>
          <w:bCs/>
          <w:color w:val="000000"/>
        </w:rPr>
        <w:t xml:space="preserve">recommend permitting partial </w:t>
      </w:r>
      <w:r w:rsidR="00B269D6" w:rsidRPr="005B3382">
        <w:rPr>
          <w:rFonts w:ascii="Aptos" w:hAnsi="Aptos"/>
          <w:b/>
          <w:bCs/>
          <w:color w:val="000000"/>
        </w:rPr>
        <w:t>fulfilment</w:t>
      </w:r>
      <w:r w:rsidRPr="009F05F3">
        <w:rPr>
          <w:rFonts w:ascii="Aptos" w:hAnsi="Aptos"/>
          <w:color w:val="000000"/>
        </w:rPr>
        <w:t xml:space="preserve"> for certain clauses.</w:t>
      </w:r>
    </w:p>
    <w:p w14:paraId="15F806D2" w14:textId="25D4654B" w:rsidR="005B3382" w:rsidRPr="005B3382" w:rsidRDefault="005B3382" w:rsidP="00B269D6">
      <w:pPr>
        <w:pStyle w:val="ListParagraph"/>
        <w:numPr>
          <w:ilvl w:val="1"/>
          <w:numId w:val="19"/>
        </w:numPr>
        <w:ind w:left="851" w:hanging="425"/>
        <w:jc w:val="both"/>
        <w:rPr>
          <w:rFonts w:ascii="Aptos" w:hAnsi="Aptos"/>
          <w:color w:val="000000"/>
        </w:rPr>
      </w:pPr>
      <w:r w:rsidRPr="005B3382">
        <w:rPr>
          <w:rFonts w:ascii="Aptos" w:hAnsi="Aptos"/>
          <w:color w:val="000000"/>
        </w:rPr>
        <w:t>NCCS is encouraged to incorporate a scoring methodology for SAL1 certifications, similar to that applied to SAL2 and SAL3 certificates.</w:t>
      </w:r>
    </w:p>
    <w:p w14:paraId="672A5139" w14:textId="355E2D4B" w:rsidR="005B3382" w:rsidRDefault="005B3382" w:rsidP="00B269D6">
      <w:pPr>
        <w:pStyle w:val="ListParagraph"/>
        <w:numPr>
          <w:ilvl w:val="1"/>
          <w:numId w:val="19"/>
        </w:numPr>
        <w:ind w:left="851" w:hanging="425"/>
        <w:jc w:val="both"/>
        <w:rPr>
          <w:rFonts w:ascii="Aptos" w:hAnsi="Aptos"/>
          <w:color w:val="000000"/>
        </w:rPr>
      </w:pPr>
      <w:r w:rsidRPr="009F05F3">
        <w:rPr>
          <w:rFonts w:ascii="Aptos" w:hAnsi="Aptos"/>
          <w:color w:val="000000"/>
        </w:rPr>
        <w:t xml:space="preserve">We propose setting the </w:t>
      </w:r>
      <w:r w:rsidRPr="005B3382">
        <w:rPr>
          <w:rFonts w:ascii="Aptos" w:hAnsi="Aptos"/>
          <w:b/>
          <w:bCs/>
          <w:color w:val="000000"/>
        </w:rPr>
        <w:t>minimum compliance threshold at</w:t>
      </w:r>
      <w:r w:rsidRPr="009F05F3">
        <w:rPr>
          <w:rFonts w:ascii="Aptos" w:hAnsi="Aptos"/>
          <w:color w:val="000000"/>
        </w:rPr>
        <w:t xml:space="preserve"> </w:t>
      </w:r>
      <w:r w:rsidR="000F4083">
        <w:rPr>
          <w:rFonts w:ascii="Aptos" w:hAnsi="Aptos"/>
          <w:b/>
          <w:color w:val="000000"/>
        </w:rPr>
        <w:t xml:space="preserve">  80 %</w:t>
      </w:r>
      <w:r w:rsidRPr="009F05F3">
        <w:rPr>
          <w:rFonts w:ascii="Aptos" w:hAnsi="Aptos"/>
          <w:color w:val="000000"/>
        </w:rPr>
        <w:t xml:space="preserve"> of applicable test clauses to qualify for a SAL1 certificate.</w:t>
      </w:r>
    </w:p>
    <w:p w14:paraId="62AFFBAE" w14:textId="0202B9BE" w:rsidR="009F05F3" w:rsidRDefault="005B3382" w:rsidP="00B269D6">
      <w:pPr>
        <w:pStyle w:val="ListParagraph"/>
        <w:numPr>
          <w:ilvl w:val="1"/>
          <w:numId w:val="19"/>
        </w:numPr>
        <w:ind w:left="851" w:hanging="425"/>
        <w:jc w:val="both"/>
        <w:rPr>
          <w:rFonts w:ascii="Aptos" w:hAnsi="Aptos"/>
          <w:color w:val="000000"/>
        </w:rPr>
      </w:pPr>
      <w:r w:rsidRPr="009F05F3">
        <w:rPr>
          <w:rFonts w:ascii="Aptos" w:hAnsi="Aptos"/>
          <w:color w:val="000000"/>
        </w:rPr>
        <w:lastRenderedPageBreak/>
        <w:t xml:space="preserve">The scoring methodology </w:t>
      </w:r>
      <w:r>
        <w:rPr>
          <w:rFonts w:ascii="Aptos" w:hAnsi="Aptos"/>
          <w:color w:val="000000"/>
        </w:rPr>
        <w:t xml:space="preserve">may </w:t>
      </w:r>
      <w:r w:rsidRPr="009F05F3">
        <w:rPr>
          <w:rFonts w:ascii="Aptos" w:hAnsi="Aptos"/>
          <w:color w:val="000000"/>
        </w:rPr>
        <w:t>be jointly reviewed by NCCS and the OEM Committee after two years of scheme implementation to reflect ecosystem advancements.</w:t>
      </w:r>
    </w:p>
    <w:p w14:paraId="61EE8C58" w14:textId="77777777" w:rsidR="005B3382" w:rsidRPr="005B3382" w:rsidRDefault="005B3382" w:rsidP="00B269D6">
      <w:pPr>
        <w:pStyle w:val="ListParagraph"/>
        <w:ind w:left="1080"/>
        <w:jc w:val="both"/>
        <w:rPr>
          <w:rFonts w:ascii="Aptos" w:hAnsi="Aptos"/>
          <w:color w:val="000000"/>
        </w:rPr>
      </w:pPr>
    </w:p>
    <w:p w14:paraId="43FC7985" w14:textId="6F00980E" w:rsidR="005B3382" w:rsidRPr="005B3382" w:rsidRDefault="005B3382" w:rsidP="00B269D6">
      <w:pPr>
        <w:pStyle w:val="ListParagraph"/>
        <w:numPr>
          <w:ilvl w:val="0"/>
          <w:numId w:val="23"/>
        </w:numPr>
        <w:jc w:val="both"/>
        <w:rPr>
          <w:rFonts w:ascii="Aptos" w:hAnsi="Aptos"/>
          <w:color w:val="000000"/>
        </w:rPr>
      </w:pPr>
      <w:r w:rsidRPr="005B3382">
        <w:rPr>
          <w:rFonts w:ascii="Aptos" w:hAnsi="Aptos"/>
          <w:b/>
          <w:color w:val="000000"/>
        </w:rPr>
        <w:t>Software updates and upgrades</w:t>
      </w:r>
      <w:r w:rsidRPr="005B3382">
        <w:rPr>
          <w:rFonts w:ascii="Aptos" w:hAnsi="Aptos"/>
          <w:color w:val="000000"/>
        </w:rPr>
        <w:t xml:space="preserve">: </w:t>
      </w:r>
      <w:r>
        <w:rPr>
          <w:rFonts w:ascii="Aptos" w:hAnsi="Aptos"/>
          <w:color w:val="000000"/>
        </w:rPr>
        <w:t xml:space="preserve">We </w:t>
      </w:r>
      <w:r w:rsidRPr="005B3382">
        <w:rPr>
          <w:rFonts w:ascii="Aptos" w:hAnsi="Aptos"/>
          <w:color w:val="000000"/>
        </w:rPr>
        <w:t xml:space="preserve">understand that NCCS currently requires OEMs to submit a release note once in every 2 years when software upgrades impact device security posture and requires the </w:t>
      </w:r>
      <w:r w:rsidRPr="005B3382">
        <w:rPr>
          <w:rFonts w:cs="Arial"/>
        </w:rPr>
        <w:t>product to be tested only for the delta changes, once every 2 years.</w:t>
      </w:r>
      <w:r w:rsidRPr="005B3382">
        <w:rPr>
          <w:rFonts w:ascii="Aptos" w:hAnsi="Aptos"/>
          <w:color w:val="000000"/>
        </w:rPr>
        <w:t xml:space="preserve"> We suggest the following addition</w:t>
      </w:r>
      <w:r>
        <w:rPr>
          <w:rFonts w:ascii="Aptos" w:hAnsi="Aptos"/>
          <w:color w:val="000000"/>
        </w:rPr>
        <w:t>al proposal</w:t>
      </w:r>
      <w:r w:rsidRPr="005B3382">
        <w:rPr>
          <w:rFonts w:ascii="Aptos" w:hAnsi="Aptos"/>
          <w:color w:val="000000"/>
        </w:rPr>
        <w:t>:</w:t>
      </w:r>
    </w:p>
    <w:p w14:paraId="537E4C7F" w14:textId="42AE65B1" w:rsidR="005B3382" w:rsidRPr="00AD6D9F" w:rsidRDefault="005B3382" w:rsidP="00B269D6">
      <w:pPr>
        <w:pStyle w:val="ListParagraph"/>
        <w:numPr>
          <w:ilvl w:val="1"/>
          <w:numId w:val="19"/>
        </w:numPr>
        <w:ind w:left="851" w:hanging="425"/>
        <w:jc w:val="both"/>
        <w:rPr>
          <w:rFonts w:ascii="Aptos" w:hAnsi="Aptos"/>
          <w:bCs/>
          <w:color w:val="000000"/>
        </w:rPr>
      </w:pPr>
      <w:r w:rsidRPr="00FC704F">
        <w:rPr>
          <w:rFonts w:ascii="Aptos" w:hAnsi="Aptos"/>
          <w:b/>
          <w:bCs/>
          <w:color w:val="000000"/>
        </w:rPr>
        <w:t xml:space="preserve">For </w:t>
      </w:r>
      <w:r w:rsidRPr="005B3382">
        <w:rPr>
          <w:rFonts w:ascii="Aptos" w:hAnsi="Aptos"/>
          <w:b/>
          <w:color w:val="000000"/>
        </w:rPr>
        <w:t>products with a Pro-</w:t>
      </w:r>
      <w:proofErr w:type="spellStart"/>
      <w:r w:rsidRPr="005B3382">
        <w:rPr>
          <w:rFonts w:ascii="Aptos" w:hAnsi="Aptos"/>
          <w:b/>
          <w:color w:val="000000"/>
        </w:rPr>
        <w:t>tem</w:t>
      </w:r>
      <w:proofErr w:type="spellEnd"/>
      <w:r w:rsidRPr="005B3382">
        <w:rPr>
          <w:rFonts w:ascii="Aptos" w:hAnsi="Aptos"/>
          <w:b/>
          <w:color w:val="000000"/>
        </w:rPr>
        <w:t xml:space="preserve"> certificate receiving </w:t>
      </w:r>
      <w:r w:rsidR="00AD6D9F">
        <w:rPr>
          <w:rFonts w:ascii="Aptos" w:hAnsi="Aptos"/>
          <w:b/>
          <w:color w:val="000000"/>
        </w:rPr>
        <w:t>upgrades/</w:t>
      </w:r>
      <w:r w:rsidRPr="005B3382">
        <w:rPr>
          <w:rFonts w:ascii="Aptos" w:hAnsi="Aptos"/>
          <w:b/>
          <w:color w:val="000000"/>
        </w:rPr>
        <w:t>updates before expiry</w:t>
      </w:r>
      <w:r w:rsidR="00AD6D9F">
        <w:rPr>
          <w:rFonts w:ascii="Aptos" w:hAnsi="Aptos"/>
          <w:b/>
          <w:color w:val="000000"/>
        </w:rPr>
        <w:t xml:space="preserve">: </w:t>
      </w:r>
      <w:r w:rsidR="00AD6D9F">
        <w:rPr>
          <w:rFonts w:ascii="Aptos" w:hAnsi="Aptos"/>
          <w:bCs/>
          <w:color w:val="000000"/>
        </w:rPr>
        <w:t>Pls</w:t>
      </w:r>
      <w:r w:rsidR="00AD6D9F" w:rsidRPr="00AD6D9F">
        <w:rPr>
          <w:rFonts w:ascii="Aptos" w:hAnsi="Aptos"/>
          <w:bCs/>
          <w:color w:val="000000"/>
        </w:rPr>
        <w:t xml:space="preserve"> allow provision of supply of upgraded/updated SW release against an existing Pro-</w:t>
      </w:r>
      <w:proofErr w:type="spellStart"/>
      <w:r w:rsidR="00AD6D9F" w:rsidRPr="00AD6D9F">
        <w:rPr>
          <w:rFonts w:ascii="Aptos" w:hAnsi="Aptos"/>
          <w:bCs/>
          <w:color w:val="000000"/>
        </w:rPr>
        <w:t>tem</w:t>
      </w:r>
      <w:proofErr w:type="spellEnd"/>
      <w:r w:rsidR="00AD6D9F" w:rsidRPr="00AD6D9F">
        <w:rPr>
          <w:rFonts w:ascii="Aptos" w:hAnsi="Aptos"/>
          <w:bCs/>
          <w:color w:val="000000"/>
        </w:rPr>
        <w:t xml:space="preserve"> certificate issued for a prior release within its validity of 2 yrs without need of providing any undertaking and doing security testing for the upgraded</w:t>
      </w:r>
      <w:r w:rsidR="004C7CD0">
        <w:rPr>
          <w:rFonts w:ascii="Aptos" w:hAnsi="Aptos"/>
          <w:bCs/>
          <w:color w:val="000000"/>
        </w:rPr>
        <w:t>/updated</w:t>
      </w:r>
      <w:r w:rsidR="00AD6D9F" w:rsidRPr="00AD6D9F">
        <w:rPr>
          <w:rFonts w:ascii="Aptos" w:hAnsi="Aptos"/>
          <w:bCs/>
          <w:color w:val="000000"/>
        </w:rPr>
        <w:t xml:space="preserve"> software. This will allow market access while completing the testing.</w:t>
      </w:r>
    </w:p>
    <w:p w14:paraId="7533B913" w14:textId="77777777" w:rsidR="005B3382" w:rsidRDefault="005B3382" w:rsidP="00B269D6">
      <w:pPr>
        <w:pStyle w:val="ListParagraph"/>
        <w:jc w:val="both"/>
        <w:rPr>
          <w:rFonts w:ascii="Aptos" w:hAnsi="Aptos"/>
          <w:b/>
          <w:color w:val="000000"/>
        </w:rPr>
      </w:pPr>
    </w:p>
    <w:p w14:paraId="2B9E2F6A" w14:textId="64284C33" w:rsidR="009F05F3" w:rsidRPr="00B97928" w:rsidRDefault="007D1836" w:rsidP="00B269D6">
      <w:pPr>
        <w:pStyle w:val="ListParagraph"/>
        <w:numPr>
          <w:ilvl w:val="1"/>
          <w:numId w:val="19"/>
        </w:numPr>
        <w:ind w:left="851" w:hanging="425"/>
        <w:jc w:val="both"/>
        <w:rPr>
          <w:rFonts w:cs="Arial"/>
        </w:rPr>
      </w:pPr>
      <w:r w:rsidRPr="00FC704F">
        <w:rPr>
          <w:rFonts w:ascii="Aptos" w:hAnsi="Aptos"/>
          <w:b/>
          <w:bCs/>
          <w:color w:val="000000"/>
        </w:rPr>
        <w:t>For</w:t>
      </w:r>
      <w:r w:rsidRPr="007D1836">
        <w:rPr>
          <w:rFonts w:ascii="Aptos" w:hAnsi="Aptos"/>
          <w:b/>
          <w:color w:val="000000"/>
        </w:rPr>
        <w:t xml:space="preserve"> products with SAL 1, 2, or 3 certificates undergoing software updates/upgrades before expiry:</w:t>
      </w:r>
      <w:r w:rsidRPr="007D1836">
        <w:rPr>
          <w:rFonts w:ascii="Aptos" w:hAnsi="Aptos"/>
          <w:color w:val="000000"/>
        </w:rPr>
        <w:t xml:space="preserve"> Please extend the review cycle for software updates/upgrades from 2 years to</w:t>
      </w:r>
      <w:r w:rsidRPr="007D1836">
        <w:rPr>
          <w:rFonts w:ascii="Aptos" w:hAnsi="Aptos"/>
          <w:b/>
          <w:bCs/>
          <w:color w:val="000000"/>
        </w:rPr>
        <w:t xml:space="preserve"> 3 years</w:t>
      </w:r>
      <w:r w:rsidRPr="007D1836">
        <w:rPr>
          <w:rFonts w:ascii="Aptos" w:hAnsi="Aptos"/>
          <w:color w:val="000000"/>
        </w:rPr>
        <w:t>. In the case of software upgrades affecting security posture of the device, mandate the products to be tested only for the delta change, once in 3 years. OEM will submit the release notes along with the assessments on impact on revised security test clauses compliances once in 3 years</w:t>
      </w:r>
      <w:r>
        <w:rPr>
          <w:rFonts w:ascii="Aptos" w:hAnsi="Aptos"/>
          <w:color w:val="000000"/>
        </w:rPr>
        <w:t>.</w:t>
      </w:r>
    </w:p>
    <w:p w14:paraId="22CA8256" w14:textId="77777777" w:rsidR="00DD69A5" w:rsidRPr="00DD69A5" w:rsidRDefault="00DD69A5" w:rsidP="00B97928">
      <w:pPr>
        <w:pStyle w:val="ListParagraph"/>
        <w:rPr>
          <w:rFonts w:cs="Arial"/>
        </w:rPr>
      </w:pPr>
    </w:p>
    <w:p w14:paraId="149B3EF2" w14:textId="61E7B37F" w:rsidR="00DD69A5" w:rsidRDefault="00DD69A5" w:rsidP="00B269D6">
      <w:pPr>
        <w:pStyle w:val="ListParagraph"/>
        <w:numPr>
          <w:ilvl w:val="1"/>
          <w:numId w:val="19"/>
        </w:numPr>
        <w:ind w:left="851" w:hanging="425"/>
        <w:jc w:val="both"/>
        <w:rPr>
          <w:rFonts w:cs="Arial"/>
        </w:rPr>
      </w:pPr>
      <w:r w:rsidRPr="00DD69A5">
        <w:rPr>
          <w:rFonts w:cs="Arial"/>
        </w:rPr>
        <w:t>OEMs be allowed to get an Amended Integrated Certificate with upgraded software details from the TEC directly when deploying new software versions within the current certificate's validity, ensuring seamless market access.</w:t>
      </w:r>
    </w:p>
    <w:p w14:paraId="0305AB26" w14:textId="77777777" w:rsidR="00B97928" w:rsidRDefault="00B97928" w:rsidP="00B97928">
      <w:pPr>
        <w:jc w:val="both"/>
        <w:rPr>
          <w:rFonts w:cs="Arial"/>
        </w:rPr>
      </w:pPr>
    </w:p>
    <w:p w14:paraId="518D37C6" w14:textId="77777777" w:rsidR="00B97928" w:rsidRDefault="00B97928" w:rsidP="00B97928">
      <w:pPr>
        <w:jc w:val="both"/>
        <w:rPr>
          <w:rFonts w:cs="Arial"/>
        </w:rPr>
      </w:pPr>
    </w:p>
    <w:p w14:paraId="1F537302" w14:textId="77777777" w:rsidR="00B97928" w:rsidRDefault="00B97928" w:rsidP="00B97928">
      <w:pPr>
        <w:jc w:val="both"/>
        <w:rPr>
          <w:rFonts w:cs="Arial"/>
        </w:rPr>
      </w:pPr>
    </w:p>
    <w:p w14:paraId="7AEDDDF9" w14:textId="77777777" w:rsidR="00B97928" w:rsidRPr="00B97928" w:rsidRDefault="00B97928" w:rsidP="00B97928">
      <w:pPr>
        <w:jc w:val="both"/>
        <w:rPr>
          <w:rFonts w:cs="Arial"/>
        </w:rPr>
      </w:pPr>
    </w:p>
    <w:sectPr w:rsidR="00B97928" w:rsidRPr="00B979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19860" w14:textId="77777777" w:rsidR="0070372D" w:rsidRDefault="0070372D" w:rsidP="00586EAD">
      <w:pPr>
        <w:spacing w:after="0" w:line="240" w:lineRule="auto"/>
      </w:pPr>
      <w:r>
        <w:separator/>
      </w:r>
    </w:p>
  </w:endnote>
  <w:endnote w:type="continuationSeparator" w:id="0">
    <w:p w14:paraId="595CFC7A" w14:textId="77777777" w:rsidR="0070372D" w:rsidRDefault="0070372D" w:rsidP="00586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12CFE" w14:textId="77777777" w:rsidR="0070372D" w:rsidRDefault="0070372D" w:rsidP="00586EAD">
      <w:pPr>
        <w:spacing w:after="0" w:line="240" w:lineRule="auto"/>
      </w:pPr>
      <w:r>
        <w:separator/>
      </w:r>
    </w:p>
  </w:footnote>
  <w:footnote w:type="continuationSeparator" w:id="0">
    <w:p w14:paraId="66C8DEC9" w14:textId="77777777" w:rsidR="0070372D" w:rsidRDefault="0070372D" w:rsidP="00586E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5A26"/>
    <w:multiLevelType w:val="hybridMultilevel"/>
    <w:tmpl w:val="D2AA59C4"/>
    <w:lvl w:ilvl="0" w:tplc="4009000F">
      <w:start w:val="1"/>
      <w:numFmt w:val="decimal"/>
      <w:lvlText w:val="%1."/>
      <w:lvlJc w:val="left"/>
      <w:pPr>
        <w:ind w:left="360" w:hanging="360"/>
      </w:pPr>
      <w:rPr>
        <w:rFont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8862F37"/>
    <w:multiLevelType w:val="hybridMultilevel"/>
    <w:tmpl w:val="2A5A045C"/>
    <w:lvl w:ilvl="0" w:tplc="4009001B">
      <w:start w:val="1"/>
      <w:numFmt w:val="lowerRoman"/>
      <w:lvlText w:val="%1."/>
      <w:lvlJc w:val="right"/>
      <w:pPr>
        <w:ind w:left="1080"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AEC2A10"/>
    <w:multiLevelType w:val="hybridMultilevel"/>
    <w:tmpl w:val="3978394A"/>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1633BD5"/>
    <w:multiLevelType w:val="hybridMultilevel"/>
    <w:tmpl w:val="8B0AA2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3880AD2"/>
    <w:multiLevelType w:val="multilevel"/>
    <w:tmpl w:val="BBE00786"/>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15:restartNumberingAfterBreak="0">
    <w:nsid w:val="141C2CA5"/>
    <w:multiLevelType w:val="multilevel"/>
    <w:tmpl w:val="83921814"/>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60037F"/>
    <w:multiLevelType w:val="hybridMultilevel"/>
    <w:tmpl w:val="5CEAE378"/>
    <w:lvl w:ilvl="0" w:tplc="1018B8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88E3EA8"/>
    <w:multiLevelType w:val="hybridMultilevel"/>
    <w:tmpl w:val="572C83FC"/>
    <w:lvl w:ilvl="0" w:tplc="4009000F">
      <w:start w:val="1"/>
      <w:numFmt w:val="decimal"/>
      <w:lvlText w:val="%1."/>
      <w:lvlJc w:val="left"/>
      <w:pPr>
        <w:ind w:left="360" w:hanging="360"/>
      </w:pPr>
      <w:rPr>
        <w:rFonts w:hint="default"/>
      </w:rPr>
    </w:lvl>
    <w:lvl w:ilvl="1" w:tplc="C7C80198">
      <w:start w:val="1"/>
      <w:numFmt w:val="lowerRoman"/>
      <w:lvlText w:val="%2."/>
      <w:lvlJc w:val="left"/>
      <w:pPr>
        <w:ind w:left="1440" w:hanging="72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1AC82040"/>
    <w:multiLevelType w:val="hybridMultilevel"/>
    <w:tmpl w:val="1BCE0C0A"/>
    <w:lvl w:ilvl="0" w:tplc="4009000F">
      <w:start w:val="1"/>
      <w:numFmt w:val="decimal"/>
      <w:lvlText w:val="%1."/>
      <w:lvlJc w:val="left"/>
      <w:pPr>
        <w:ind w:left="720" w:hanging="360"/>
      </w:pPr>
      <w:rPr>
        <w:rFonts w:hint="default"/>
      </w:rPr>
    </w:lvl>
    <w:lvl w:ilvl="1" w:tplc="46BAD148">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3D24098"/>
    <w:multiLevelType w:val="multilevel"/>
    <w:tmpl w:val="62E44978"/>
    <w:lvl w:ilvl="0">
      <w:start w:val="1"/>
      <w:numFmt w:val="decimal"/>
      <w:lvlText w:val="%1."/>
      <w:lvlJc w:val="left"/>
      <w:pPr>
        <w:ind w:left="1440" w:hanging="360"/>
      </w:pPr>
      <w:rPr>
        <w:rFonts w:hint="default"/>
      </w:rPr>
    </w:lvl>
    <w:lvl w:ilvl="1">
      <w:start w:val="1"/>
      <w:numFmt w:val="lowerRoman"/>
      <w:lvlText w:val="%2."/>
      <w:lvlJc w:val="right"/>
      <w:pPr>
        <w:ind w:left="2160" w:hanging="360"/>
      </w:p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15:restartNumberingAfterBreak="0">
    <w:nsid w:val="344A368E"/>
    <w:multiLevelType w:val="hybridMultilevel"/>
    <w:tmpl w:val="368C0552"/>
    <w:lvl w:ilvl="0" w:tplc="14A8B5F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456B4B2F"/>
    <w:multiLevelType w:val="multilevel"/>
    <w:tmpl w:val="3724C412"/>
    <w:lvl w:ilvl="0">
      <w:start w:val="1"/>
      <w:numFmt w:val="lowerRoman"/>
      <w:lvlText w:val="%1."/>
      <w:lvlJc w:val="righ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197284"/>
    <w:multiLevelType w:val="hybridMultilevel"/>
    <w:tmpl w:val="C75A715E"/>
    <w:lvl w:ilvl="0" w:tplc="283E190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46AC779E"/>
    <w:multiLevelType w:val="hybridMultilevel"/>
    <w:tmpl w:val="1BD2BB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9383716"/>
    <w:multiLevelType w:val="hybridMultilevel"/>
    <w:tmpl w:val="518A9960"/>
    <w:lvl w:ilvl="0" w:tplc="40090015">
      <w:start w:val="1"/>
      <w:numFmt w:val="upperLetter"/>
      <w:lvlText w:val="%1."/>
      <w:lvlJc w:val="left"/>
      <w:pPr>
        <w:ind w:left="720" w:hanging="360"/>
      </w:pPr>
      <w:rPr>
        <w:color w:val="00000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5" w15:restartNumberingAfterBreak="0">
    <w:nsid w:val="4BA24D12"/>
    <w:multiLevelType w:val="hybridMultilevel"/>
    <w:tmpl w:val="E542AE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DCB1A63"/>
    <w:multiLevelType w:val="hybridMultilevel"/>
    <w:tmpl w:val="28AA7CA8"/>
    <w:lvl w:ilvl="0" w:tplc="4FA01F8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53053AA3"/>
    <w:multiLevelType w:val="multilevel"/>
    <w:tmpl w:val="61521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1B4104"/>
    <w:multiLevelType w:val="hybridMultilevel"/>
    <w:tmpl w:val="4CFE2C0E"/>
    <w:lvl w:ilvl="0" w:tplc="40090017">
      <w:start w:val="1"/>
      <w:numFmt w:val="lowerLetter"/>
      <w:lvlText w:val="%1)"/>
      <w:lvlJc w:val="left"/>
      <w:pPr>
        <w:ind w:left="360" w:hanging="360"/>
      </w:pPr>
      <w:rPr>
        <w:rFont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690B2172"/>
    <w:multiLevelType w:val="hybridMultilevel"/>
    <w:tmpl w:val="572C83FC"/>
    <w:lvl w:ilvl="0" w:tplc="FFFFFFFF">
      <w:start w:val="1"/>
      <w:numFmt w:val="decimal"/>
      <w:lvlText w:val="%1."/>
      <w:lvlJc w:val="left"/>
      <w:pPr>
        <w:ind w:left="360" w:hanging="360"/>
      </w:pPr>
      <w:rPr>
        <w:rFonts w:hint="default"/>
      </w:rPr>
    </w:lvl>
    <w:lvl w:ilvl="1" w:tplc="FFFFFFFF">
      <w:start w:val="1"/>
      <w:numFmt w:val="lowerRoman"/>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4331671"/>
    <w:multiLevelType w:val="hybridMultilevel"/>
    <w:tmpl w:val="3934DE62"/>
    <w:lvl w:ilvl="0" w:tplc="FFFFFFFF">
      <w:start w:val="1"/>
      <w:numFmt w:val="decimal"/>
      <w:lvlText w:val="%1."/>
      <w:lvlJc w:val="left"/>
      <w:pPr>
        <w:ind w:left="720" w:hanging="360"/>
      </w:pPr>
      <w:rPr>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748B384A"/>
    <w:multiLevelType w:val="multilevel"/>
    <w:tmpl w:val="3F5043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285F20"/>
    <w:multiLevelType w:val="hybridMultilevel"/>
    <w:tmpl w:val="370AD6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B3874DD"/>
    <w:multiLevelType w:val="multilevel"/>
    <w:tmpl w:val="36769F92"/>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15:restartNumberingAfterBreak="0">
    <w:nsid w:val="7C32647A"/>
    <w:multiLevelType w:val="hybridMultilevel"/>
    <w:tmpl w:val="C6AC68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87166753">
    <w:abstractNumId w:val="8"/>
  </w:num>
  <w:num w:numId="2" w16cid:durableId="302200844">
    <w:abstractNumId w:val="7"/>
  </w:num>
  <w:num w:numId="3" w16cid:durableId="1576206715">
    <w:abstractNumId w:val="17"/>
  </w:num>
  <w:num w:numId="4" w16cid:durableId="1661274802">
    <w:abstractNumId w:val="21"/>
  </w:num>
  <w:num w:numId="5" w16cid:durableId="1592199710">
    <w:abstractNumId w:val="5"/>
  </w:num>
  <w:num w:numId="6" w16cid:durableId="205487176">
    <w:abstractNumId w:val="11"/>
  </w:num>
  <w:num w:numId="7" w16cid:durableId="501362113">
    <w:abstractNumId w:val="1"/>
  </w:num>
  <w:num w:numId="8" w16cid:durableId="1263222651">
    <w:abstractNumId w:val="13"/>
  </w:num>
  <w:num w:numId="9" w16cid:durableId="1801879118">
    <w:abstractNumId w:val="3"/>
  </w:num>
  <w:num w:numId="10" w16cid:durableId="954798607">
    <w:abstractNumId w:val="10"/>
  </w:num>
  <w:num w:numId="11" w16cid:durableId="1216698700">
    <w:abstractNumId w:val="12"/>
  </w:num>
  <w:num w:numId="12" w16cid:durableId="42561874">
    <w:abstractNumId w:val="16"/>
  </w:num>
  <w:num w:numId="13" w16cid:durableId="170529896">
    <w:abstractNumId w:val="6"/>
  </w:num>
  <w:num w:numId="14" w16cid:durableId="946736167">
    <w:abstractNumId w:val="19"/>
  </w:num>
  <w:num w:numId="15" w16cid:durableId="408696781">
    <w:abstractNumId w:val="14"/>
  </w:num>
  <w:num w:numId="16" w16cid:durableId="1044064115">
    <w:abstractNumId w:val="14"/>
  </w:num>
  <w:num w:numId="17" w16cid:durableId="811681967">
    <w:abstractNumId w:val="20"/>
  </w:num>
  <w:num w:numId="18" w16cid:durableId="1159615639">
    <w:abstractNumId w:val="0"/>
  </w:num>
  <w:num w:numId="19" w16cid:durableId="1574314098">
    <w:abstractNumId w:val="18"/>
  </w:num>
  <w:num w:numId="20" w16cid:durableId="1950578198">
    <w:abstractNumId w:val="23"/>
  </w:num>
  <w:num w:numId="21" w16cid:durableId="1574970030">
    <w:abstractNumId w:val="9"/>
  </w:num>
  <w:num w:numId="22" w16cid:durableId="1771319973">
    <w:abstractNumId w:val="4"/>
  </w:num>
  <w:num w:numId="23" w16cid:durableId="1823737014">
    <w:abstractNumId w:val="2"/>
  </w:num>
  <w:num w:numId="24" w16cid:durableId="1737775423">
    <w:abstractNumId w:val="24"/>
  </w:num>
  <w:num w:numId="25" w16cid:durableId="1473057532">
    <w:abstractNumId w:val="22"/>
  </w:num>
  <w:num w:numId="26" w16cid:durableId="14325835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DFD"/>
    <w:rsid w:val="00003F2A"/>
    <w:rsid w:val="000426BB"/>
    <w:rsid w:val="00046A9D"/>
    <w:rsid w:val="00083B8F"/>
    <w:rsid w:val="00094F94"/>
    <w:rsid w:val="000A6574"/>
    <w:rsid w:val="000F4083"/>
    <w:rsid w:val="00115EFC"/>
    <w:rsid w:val="001213A2"/>
    <w:rsid w:val="00127E0E"/>
    <w:rsid w:val="001A24E5"/>
    <w:rsid w:val="001B68E5"/>
    <w:rsid w:val="001D3E3A"/>
    <w:rsid w:val="002A1B1D"/>
    <w:rsid w:val="002B6160"/>
    <w:rsid w:val="002F7DFD"/>
    <w:rsid w:val="00336A0C"/>
    <w:rsid w:val="00372347"/>
    <w:rsid w:val="0039029E"/>
    <w:rsid w:val="003D0F62"/>
    <w:rsid w:val="004258B2"/>
    <w:rsid w:val="00454E86"/>
    <w:rsid w:val="0047656D"/>
    <w:rsid w:val="004A23E3"/>
    <w:rsid w:val="004B60EE"/>
    <w:rsid w:val="004B649C"/>
    <w:rsid w:val="004C4CFA"/>
    <w:rsid w:val="004C7CD0"/>
    <w:rsid w:val="004C7DC7"/>
    <w:rsid w:val="004D35DC"/>
    <w:rsid w:val="004E5804"/>
    <w:rsid w:val="004E5DF8"/>
    <w:rsid w:val="005265FF"/>
    <w:rsid w:val="00564411"/>
    <w:rsid w:val="00586EAD"/>
    <w:rsid w:val="005A38B8"/>
    <w:rsid w:val="005A55AB"/>
    <w:rsid w:val="005B2C9D"/>
    <w:rsid w:val="005B3382"/>
    <w:rsid w:val="005E1AEA"/>
    <w:rsid w:val="005F38D7"/>
    <w:rsid w:val="005F48D5"/>
    <w:rsid w:val="005F54A6"/>
    <w:rsid w:val="005F5C29"/>
    <w:rsid w:val="00643C72"/>
    <w:rsid w:val="006B2D81"/>
    <w:rsid w:val="006F303B"/>
    <w:rsid w:val="0070372D"/>
    <w:rsid w:val="00704DFC"/>
    <w:rsid w:val="00714B8D"/>
    <w:rsid w:val="007253CA"/>
    <w:rsid w:val="007653C7"/>
    <w:rsid w:val="007B71B8"/>
    <w:rsid w:val="007C10A8"/>
    <w:rsid w:val="007D1836"/>
    <w:rsid w:val="007F78EA"/>
    <w:rsid w:val="008304B9"/>
    <w:rsid w:val="00846A24"/>
    <w:rsid w:val="0086121D"/>
    <w:rsid w:val="00861635"/>
    <w:rsid w:val="00873508"/>
    <w:rsid w:val="008B4AFB"/>
    <w:rsid w:val="008C2879"/>
    <w:rsid w:val="008D5777"/>
    <w:rsid w:val="0091789B"/>
    <w:rsid w:val="00952AD6"/>
    <w:rsid w:val="00967AA7"/>
    <w:rsid w:val="0097609D"/>
    <w:rsid w:val="009A7873"/>
    <w:rsid w:val="009E3DFD"/>
    <w:rsid w:val="009F05F3"/>
    <w:rsid w:val="00A40539"/>
    <w:rsid w:val="00A44DDB"/>
    <w:rsid w:val="00A568D2"/>
    <w:rsid w:val="00A93041"/>
    <w:rsid w:val="00A973B3"/>
    <w:rsid w:val="00AA1EC7"/>
    <w:rsid w:val="00AB7F08"/>
    <w:rsid w:val="00AD1F75"/>
    <w:rsid w:val="00AD6D9F"/>
    <w:rsid w:val="00B02639"/>
    <w:rsid w:val="00B269D6"/>
    <w:rsid w:val="00B8231A"/>
    <w:rsid w:val="00B97928"/>
    <w:rsid w:val="00BB3B22"/>
    <w:rsid w:val="00BC439C"/>
    <w:rsid w:val="00C116E1"/>
    <w:rsid w:val="00C151BF"/>
    <w:rsid w:val="00C257A2"/>
    <w:rsid w:val="00C41C0C"/>
    <w:rsid w:val="00C6291D"/>
    <w:rsid w:val="00C6368B"/>
    <w:rsid w:val="00C7494D"/>
    <w:rsid w:val="00C77EE4"/>
    <w:rsid w:val="00CC2F99"/>
    <w:rsid w:val="00CE666A"/>
    <w:rsid w:val="00CF0E3C"/>
    <w:rsid w:val="00D05A02"/>
    <w:rsid w:val="00DC499E"/>
    <w:rsid w:val="00DC77E5"/>
    <w:rsid w:val="00DD69A5"/>
    <w:rsid w:val="00DF6092"/>
    <w:rsid w:val="00E04D60"/>
    <w:rsid w:val="00E05D38"/>
    <w:rsid w:val="00E21A0A"/>
    <w:rsid w:val="00E27E28"/>
    <w:rsid w:val="00E35C57"/>
    <w:rsid w:val="00E36A61"/>
    <w:rsid w:val="00EA20B6"/>
    <w:rsid w:val="00F60481"/>
    <w:rsid w:val="00F76844"/>
    <w:rsid w:val="00F936B7"/>
    <w:rsid w:val="00F9671D"/>
    <w:rsid w:val="00FB0C76"/>
    <w:rsid w:val="00FC704F"/>
    <w:rsid w:val="00FD7214"/>
    <w:rsid w:val="00FE5AF1"/>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1DAA"/>
  <w15:chartTrackingRefBased/>
  <w15:docId w15:val="{CB9B3E22-3AC2-4FAC-936E-6034726E2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D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7D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D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D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D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D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D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D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D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D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7D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D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D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D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DFD"/>
    <w:rPr>
      <w:rFonts w:eastAsiaTheme="majorEastAsia" w:cstheme="majorBidi"/>
      <w:color w:val="272727" w:themeColor="text1" w:themeTint="D8"/>
    </w:rPr>
  </w:style>
  <w:style w:type="paragraph" w:styleId="Title">
    <w:name w:val="Title"/>
    <w:basedOn w:val="Normal"/>
    <w:next w:val="Normal"/>
    <w:link w:val="TitleChar"/>
    <w:uiPriority w:val="10"/>
    <w:qFormat/>
    <w:rsid w:val="002F7D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D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D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D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DFD"/>
    <w:pPr>
      <w:spacing w:before="160"/>
      <w:jc w:val="center"/>
    </w:pPr>
    <w:rPr>
      <w:i/>
      <w:iCs/>
      <w:color w:val="404040" w:themeColor="text1" w:themeTint="BF"/>
    </w:rPr>
  </w:style>
  <w:style w:type="character" w:customStyle="1" w:styleId="QuoteChar">
    <w:name w:val="Quote Char"/>
    <w:basedOn w:val="DefaultParagraphFont"/>
    <w:link w:val="Quote"/>
    <w:uiPriority w:val="29"/>
    <w:rsid w:val="002F7DFD"/>
    <w:rPr>
      <w:i/>
      <w:iCs/>
      <w:color w:val="404040" w:themeColor="text1" w:themeTint="BF"/>
    </w:rPr>
  </w:style>
  <w:style w:type="paragraph" w:styleId="ListParagraph">
    <w:name w:val="List Paragraph"/>
    <w:basedOn w:val="Normal"/>
    <w:uiPriority w:val="34"/>
    <w:qFormat/>
    <w:rsid w:val="002F7DFD"/>
    <w:pPr>
      <w:ind w:left="720"/>
      <w:contextualSpacing/>
    </w:pPr>
  </w:style>
  <w:style w:type="character" w:styleId="IntenseEmphasis">
    <w:name w:val="Intense Emphasis"/>
    <w:basedOn w:val="DefaultParagraphFont"/>
    <w:uiPriority w:val="21"/>
    <w:qFormat/>
    <w:rsid w:val="002F7DFD"/>
    <w:rPr>
      <w:i/>
      <w:iCs/>
      <w:color w:val="0F4761" w:themeColor="accent1" w:themeShade="BF"/>
    </w:rPr>
  </w:style>
  <w:style w:type="paragraph" w:styleId="IntenseQuote">
    <w:name w:val="Intense Quote"/>
    <w:basedOn w:val="Normal"/>
    <w:next w:val="Normal"/>
    <w:link w:val="IntenseQuoteChar"/>
    <w:uiPriority w:val="30"/>
    <w:qFormat/>
    <w:rsid w:val="002F7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DFD"/>
    <w:rPr>
      <w:i/>
      <w:iCs/>
      <w:color w:val="0F4761" w:themeColor="accent1" w:themeShade="BF"/>
    </w:rPr>
  </w:style>
  <w:style w:type="character" w:styleId="IntenseReference">
    <w:name w:val="Intense Reference"/>
    <w:basedOn w:val="DefaultParagraphFont"/>
    <w:uiPriority w:val="32"/>
    <w:qFormat/>
    <w:rsid w:val="002F7DFD"/>
    <w:rPr>
      <w:b/>
      <w:bCs/>
      <w:smallCaps/>
      <w:color w:val="0F4761" w:themeColor="accent1" w:themeShade="BF"/>
      <w:spacing w:val="5"/>
    </w:rPr>
  </w:style>
  <w:style w:type="character" w:styleId="Hyperlink">
    <w:name w:val="Hyperlink"/>
    <w:basedOn w:val="DefaultParagraphFont"/>
    <w:uiPriority w:val="99"/>
    <w:unhideWhenUsed/>
    <w:rsid w:val="002F7DFD"/>
    <w:rPr>
      <w:color w:val="467886" w:themeColor="hyperlink"/>
      <w:u w:val="single"/>
    </w:rPr>
  </w:style>
  <w:style w:type="character" w:styleId="UnresolvedMention">
    <w:name w:val="Unresolved Mention"/>
    <w:basedOn w:val="DefaultParagraphFont"/>
    <w:uiPriority w:val="99"/>
    <w:semiHidden/>
    <w:unhideWhenUsed/>
    <w:rsid w:val="002F7DFD"/>
    <w:rPr>
      <w:color w:val="605E5C"/>
      <w:shd w:val="clear" w:color="auto" w:fill="E1DFDD"/>
    </w:rPr>
  </w:style>
  <w:style w:type="paragraph" w:styleId="NormalWeb">
    <w:name w:val="Normal (Web)"/>
    <w:basedOn w:val="Normal"/>
    <w:uiPriority w:val="99"/>
    <w:unhideWhenUsed/>
    <w:rsid w:val="001B68E5"/>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1B68E5"/>
    <w:rPr>
      <w:b/>
      <w:bCs/>
    </w:rPr>
  </w:style>
  <w:style w:type="paragraph" w:styleId="Revision">
    <w:name w:val="Revision"/>
    <w:hidden/>
    <w:uiPriority w:val="99"/>
    <w:semiHidden/>
    <w:rsid w:val="00372347"/>
    <w:pPr>
      <w:spacing w:after="0" w:line="240" w:lineRule="auto"/>
    </w:pPr>
  </w:style>
  <w:style w:type="character" w:styleId="CommentReference">
    <w:name w:val="annotation reference"/>
    <w:basedOn w:val="DefaultParagraphFont"/>
    <w:uiPriority w:val="99"/>
    <w:semiHidden/>
    <w:unhideWhenUsed/>
    <w:rsid w:val="00C151BF"/>
    <w:rPr>
      <w:sz w:val="16"/>
      <w:szCs w:val="16"/>
    </w:rPr>
  </w:style>
  <w:style w:type="paragraph" w:styleId="CommentText">
    <w:name w:val="annotation text"/>
    <w:basedOn w:val="Normal"/>
    <w:link w:val="CommentTextChar"/>
    <w:uiPriority w:val="99"/>
    <w:unhideWhenUsed/>
    <w:rsid w:val="00C151BF"/>
    <w:pPr>
      <w:spacing w:line="240" w:lineRule="auto"/>
    </w:pPr>
    <w:rPr>
      <w:sz w:val="20"/>
      <w:szCs w:val="20"/>
    </w:rPr>
  </w:style>
  <w:style w:type="character" w:customStyle="1" w:styleId="CommentTextChar">
    <w:name w:val="Comment Text Char"/>
    <w:basedOn w:val="DefaultParagraphFont"/>
    <w:link w:val="CommentText"/>
    <w:uiPriority w:val="99"/>
    <w:rsid w:val="00C151BF"/>
    <w:rPr>
      <w:sz w:val="20"/>
      <w:szCs w:val="20"/>
    </w:rPr>
  </w:style>
  <w:style w:type="paragraph" w:styleId="CommentSubject">
    <w:name w:val="annotation subject"/>
    <w:basedOn w:val="CommentText"/>
    <w:next w:val="CommentText"/>
    <w:link w:val="CommentSubjectChar"/>
    <w:uiPriority w:val="99"/>
    <w:semiHidden/>
    <w:unhideWhenUsed/>
    <w:rsid w:val="00C151BF"/>
    <w:rPr>
      <w:b/>
      <w:bCs/>
    </w:rPr>
  </w:style>
  <w:style w:type="character" w:customStyle="1" w:styleId="CommentSubjectChar">
    <w:name w:val="Comment Subject Char"/>
    <w:basedOn w:val="CommentTextChar"/>
    <w:link w:val="CommentSubject"/>
    <w:uiPriority w:val="99"/>
    <w:semiHidden/>
    <w:rsid w:val="00C151BF"/>
    <w:rPr>
      <w:b/>
      <w:bCs/>
      <w:sz w:val="20"/>
      <w:szCs w:val="20"/>
    </w:rPr>
  </w:style>
  <w:style w:type="paragraph" w:styleId="FootnoteText">
    <w:name w:val="footnote text"/>
    <w:basedOn w:val="Normal"/>
    <w:link w:val="FootnoteTextChar"/>
    <w:uiPriority w:val="99"/>
    <w:semiHidden/>
    <w:unhideWhenUsed/>
    <w:rsid w:val="00586E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6EAD"/>
    <w:rPr>
      <w:sz w:val="20"/>
      <w:szCs w:val="20"/>
    </w:rPr>
  </w:style>
  <w:style w:type="character" w:styleId="FootnoteReference">
    <w:name w:val="footnote reference"/>
    <w:basedOn w:val="DefaultParagraphFont"/>
    <w:uiPriority w:val="99"/>
    <w:semiHidden/>
    <w:unhideWhenUsed/>
    <w:rsid w:val="00586E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EB413-6577-4CFF-B495-DD5CF4DE2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COAI</dc:creator>
  <cp:keywords/>
  <dc:description/>
  <cp:lastModifiedBy>NK Goyal</cp:lastModifiedBy>
  <cp:revision>5</cp:revision>
  <dcterms:created xsi:type="dcterms:W3CDTF">2026-03-09T05:41:00Z</dcterms:created>
  <dcterms:modified xsi:type="dcterms:W3CDTF">2026-03-09T06:52:00Z</dcterms:modified>
</cp:coreProperties>
</file>